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340C49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Helendale</w:t>
      </w:r>
    </w:p>
    <w:p w:rsidR="00340C49" w:rsidRDefault="00340C49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Total Sales</w:t>
      </w:r>
    </w:p>
    <w:p w:rsidR="00340C49" w:rsidRPr="00340C49" w:rsidRDefault="00340C49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2C3FAB8" wp14:editId="652B0C7A">
            <wp:extent cx="9144000" cy="6115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40C49" w:rsidRPr="00340C49" w:rsidSect="00340C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49"/>
    <w:rsid w:val="001C4433"/>
    <w:rsid w:val="00206930"/>
    <w:rsid w:val="0034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54E52-318D-45C2-9B4A-EBE1800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180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1</c:v>
                </c:pt>
                <c:pt idx="1">
                  <c:v>16</c:v>
                </c:pt>
                <c:pt idx="2">
                  <c:v>30</c:v>
                </c:pt>
                <c:pt idx="3">
                  <c:v>30</c:v>
                </c:pt>
                <c:pt idx="4">
                  <c:v>25</c:v>
                </c:pt>
                <c:pt idx="5">
                  <c:v>29</c:v>
                </c:pt>
                <c:pt idx="6">
                  <c:v>17</c:v>
                </c:pt>
                <c:pt idx="7">
                  <c:v>9</c:v>
                </c:pt>
                <c:pt idx="8">
                  <c:v>9</c:v>
                </c:pt>
                <c:pt idx="9">
                  <c:v>5</c:v>
                </c:pt>
                <c:pt idx="10">
                  <c:v>5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6540712"/>
        <c:axId val="406541104"/>
        <c:axId val="0"/>
      </c:bar3DChart>
      <c:catAx>
        <c:axId val="406540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541104"/>
        <c:crosses val="autoZero"/>
        <c:auto val="1"/>
        <c:lblAlgn val="ctr"/>
        <c:lblOffset val="100"/>
        <c:noMultiLvlLbl val="0"/>
      </c:catAx>
      <c:valAx>
        <c:axId val="4065411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6540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0.15938</cdr:x>
      <cdr:y>0.1324</cdr:y>
    </cdr:from>
    <cdr:to>
      <cdr:x>0.575</cdr:x>
      <cdr:y>0.21028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809625"/>
          <a:ext cx="38004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4,150</a:t>
          </a:r>
          <a:r>
            <a:rPr lang="en-US" sz="1100"/>
            <a:t> - Year Built</a:t>
          </a:r>
          <a:r>
            <a:rPr lang="en-US" sz="1100" baseline="0"/>
            <a:t> </a:t>
          </a:r>
          <a:r>
            <a:rPr lang="en-US" sz="1100" b="1" baseline="0"/>
            <a:t>2007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0.15938</cdr:x>
      <cdr:y>0.1947</cdr:y>
    </cdr:from>
    <cdr:to>
      <cdr:x>0.4875</cdr:x>
      <cdr:y>0.27259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1190625"/>
          <a:ext cx="30003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3,499</a:t>
          </a:r>
          <a:r>
            <a:rPr lang="en-US" sz="1100"/>
            <a:t> - Year Built </a:t>
          </a:r>
          <a:r>
            <a:rPr lang="en-US" sz="1100" b="1"/>
            <a:t>1999</a:t>
          </a:r>
        </a:p>
      </cdr:txBody>
    </cdr:sp>
  </cdr:relSizeAnchor>
  <cdr:relSizeAnchor xmlns:cdr="http://schemas.openxmlformats.org/drawingml/2006/chartDrawing">
    <cdr:from>
      <cdr:x>0.15938</cdr:x>
      <cdr:y>0.25545</cdr:y>
    </cdr:from>
    <cdr:to>
      <cdr:x>0.5375</cdr:x>
      <cdr:y>0.33333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1562100"/>
          <a:ext cx="34575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2,510</a:t>
          </a:r>
          <a:r>
            <a:rPr lang="en-US" sz="1100"/>
            <a:t> - Average Year Built </a:t>
          </a:r>
          <a:r>
            <a:rPr lang="en-US" sz="1100" b="1"/>
            <a:t>1991</a:t>
          </a:r>
        </a:p>
      </cdr:txBody>
    </cdr:sp>
  </cdr:relSizeAnchor>
  <cdr:relSizeAnchor xmlns:cdr="http://schemas.openxmlformats.org/drawingml/2006/chartDrawing">
    <cdr:from>
      <cdr:x>0.15938</cdr:x>
      <cdr:y>0.31776</cdr:y>
    </cdr:from>
    <cdr:to>
      <cdr:x>0.52292</cdr:x>
      <cdr:y>0.39875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57325" y="1943100"/>
          <a:ext cx="332422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2,764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2002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0.16146</cdr:x>
      <cdr:y>0.38162</cdr:y>
    </cdr:from>
    <cdr:to>
      <cdr:x>0.49479</cdr:x>
      <cdr:y>0.46106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333625"/>
          <a:ext cx="304800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2,316</a:t>
          </a:r>
          <a:r>
            <a:rPr lang="en-US" sz="1100"/>
            <a:t> - Average Year Built </a:t>
          </a:r>
          <a:r>
            <a:rPr lang="en-US" sz="1100" b="1"/>
            <a:t>1997</a:t>
          </a:r>
        </a:p>
      </cdr:txBody>
    </cdr:sp>
  </cdr:relSizeAnchor>
  <cdr:relSizeAnchor xmlns:cdr="http://schemas.openxmlformats.org/drawingml/2006/chartDrawing">
    <cdr:from>
      <cdr:x>0.16042</cdr:x>
      <cdr:y>0.44393</cdr:y>
    </cdr:from>
    <cdr:to>
      <cdr:x>0.49375</cdr:x>
      <cdr:y>0.52181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714625"/>
          <a:ext cx="304800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2,159</a:t>
          </a:r>
          <a:r>
            <a:rPr lang="en-US" sz="1100"/>
            <a:t> - Average Year Built </a:t>
          </a:r>
          <a:r>
            <a:rPr lang="en-US" sz="1100" b="1"/>
            <a:t>2001</a:t>
          </a:r>
        </a:p>
      </cdr:txBody>
    </cdr:sp>
  </cdr:relSizeAnchor>
  <cdr:relSizeAnchor xmlns:cdr="http://schemas.openxmlformats.org/drawingml/2006/chartDrawing">
    <cdr:from>
      <cdr:x>0.16146</cdr:x>
      <cdr:y>0.50623</cdr:y>
    </cdr:from>
    <cdr:to>
      <cdr:x>0.51458</cdr:x>
      <cdr:y>0.58411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095625"/>
          <a:ext cx="32289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1,988</a:t>
          </a:r>
          <a:r>
            <a:rPr lang="en-US" sz="1100"/>
            <a:t> - Average Year Built </a:t>
          </a:r>
          <a:r>
            <a:rPr lang="en-US" sz="1100" b="1"/>
            <a:t>1988</a:t>
          </a:r>
        </a:p>
      </cdr:txBody>
    </cdr:sp>
  </cdr:relSizeAnchor>
  <cdr:relSizeAnchor xmlns:cdr="http://schemas.openxmlformats.org/drawingml/2006/chartDrawing">
    <cdr:from>
      <cdr:x>0.16146</cdr:x>
      <cdr:y>0.56854</cdr:y>
    </cdr:from>
    <cdr:to>
      <cdr:x>0.50208</cdr:x>
      <cdr:y>0.64798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476625"/>
          <a:ext cx="311467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2,107</a:t>
          </a:r>
          <a:r>
            <a:rPr lang="en-US" sz="1100" baseline="0"/>
            <a:t> - Average Year Built </a:t>
          </a:r>
          <a:r>
            <a:rPr lang="en-US" sz="1100" b="1" baseline="0"/>
            <a:t>1992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0.16146</cdr:x>
      <cdr:y>0.63084</cdr:y>
    </cdr:from>
    <cdr:to>
      <cdr:x>0.50729</cdr:x>
      <cdr:y>0.7134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857625"/>
          <a:ext cx="316230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2,009</a:t>
          </a:r>
          <a:r>
            <a:rPr lang="en-US" sz="1100"/>
            <a:t> - Average Year Built </a:t>
          </a:r>
          <a:r>
            <a:rPr lang="en-US" sz="1100" b="1"/>
            <a:t>1992</a:t>
          </a:r>
        </a:p>
      </cdr:txBody>
    </cdr:sp>
  </cdr:relSizeAnchor>
  <cdr:relSizeAnchor xmlns:cdr="http://schemas.openxmlformats.org/drawingml/2006/chartDrawing">
    <cdr:from>
      <cdr:x>0.16042</cdr:x>
      <cdr:y>0.69315</cdr:y>
    </cdr:from>
    <cdr:to>
      <cdr:x>0.50208</cdr:x>
      <cdr:y>0.77103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238625"/>
          <a:ext cx="312420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1,852</a:t>
          </a:r>
          <a:r>
            <a:rPr lang="en-US" sz="1100"/>
            <a:t> - Average Year Built </a:t>
          </a:r>
          <a:r>
            <a:rPr lang="en-US" sz="1100" b="1"/>
            <a:t>1990</a:t>
          </a:r>
        </a:p>
      </cdr:txBody>
    </cdr:sp>
  </cdr:relSizeAnchor>
  <cdr:relSizeAnchor xmlns:cdr="http://schemas.openxmlformats.org/drawingml/2006/chartDrawing">
    <cdr:from>
      <cdr:x>0.16042</cdr:x>
      <cdr:y>0.75545</cdr:y>
    </cdr:from>
    <cdr:to>
      <cdr:x>0.55313</cdr:x>
      <cdr:y>0.83489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4619625"/>
          <a:ext cx="359092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1,749</a:t>
          </a:r>
          <a:r>
            <a:rPr lang="en-US" sz="1100" baseline="0"/>
            <a:t> - Average Year Built </a:t>
          </a:r>
          <a:r>
            <a:rPr lang="en-US" sz="1100" b="1" baseline="0"/>
            <a:t>1988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0.16146</cdr:x>
      <cdr:y>0.81464</cdr:y>
    </cdr:from>
    <cdr:to>
      <cdr:x>0.52188</cdr:x>
      <cdr:y>0.91277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981575"/>
          <a:ext cx="3295650" cy="600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0.16042</cdr:x>
      <cdr:y>0.81776</cdr:y>
    </cdr:from>
    <cdr:to>
      <cdr:x>0.49583</cdr:x>
      <cdr:y>0.8972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000625"/>
          <a:ext cx="306705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1,560</a:t>
          </a:r>
          <a:r>
            <a:rPr lang="en-US" sz="1100" baseline="0"/>
            <a:t> - Average Year Built </a:t>
          </a:r>
          <a:r>
            <a:rPr lang="en-US" sz="1100" b="1" baseline="0"/>
            <a:t>1987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0.16146</cdr:x>
      <cdr:y>0.87695</cdr:y>
    </cdr:from>
    <cdr:to>
      <cdr:x>0.50208</cdr:x>
      <cdr:y>0.95639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362575"/>
          <a:ext cx="311467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1,622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1985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0.1625</cdr:x>
      <cdr:y>0.94237</cdr:y>
    </cdr:from>
    <cdr:to>
      <cdr:x>0.50729</cdr:x>
      <cdr:y>0.99065</cdr:y>
    </cdr:to>
    <cdr:sp macro="" textlink="">
      <cdr:nvSpPr>
        <cdr:cNvPr id="16" name="Text Box 15"/>
        <cdr:cNvSpPr txBox="1"/>
      </cdr:nvSpPr>
      <cdr:spPr>
        <a:xfrm xmlns:a="http://schemas.openxmlformats.org/drawingml/2006/main">
          <a:off x="1485900" y="5762625"/>
          <a:ext cx="31527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1,761</a:t>
          </a:r>
          <a:r>
            <a:rPr lang="en-US" sz="1100"/>
            <a:t> - Year Built </a:t>
          </a:r>
          <a:r>
            <a:rPr lang="en-US" sz="1100" b="1"/>
            <a:t>1987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2018-01-25T21:37:00Z</dcterms:created>
  <dcterms:modified xsi:type="dcterms:W3CDTF">2018-01-25T21:54:00Z</dcterms:modified>
</cp:coreProperties>
</file>